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866B7" w14:textId="77777777" w:rsidR="0025012F" w:rsidRDefault="0025012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lid for GN containers with Universal U-Handles GD-BL 2/4</w:t>
      </w:r>
    </w:p>
    <w:p w14:paraId="7FD94003" w14:textId="77777777" w:rsidR="0025012F" w:rsidRDefault="0025012F">
      <w:pPr>
        <w:suppressAutoHyphens/>
        <w:rPr>
          <w:rFonts w:ascii="Arial" w:hAnsi="Arial"/>
        </w:rPr>
      </w:pPr>
    </w:p>
    <w:p w14:paraId="4C79A282" w14:textId="77777777" w:rsidR="0025012F" w:rsidRDefault="0025012F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715C32F6" w14:textId="77777777" w:rsidR="0025012F" w:rsidRDefault="0025012F">
      <w:pPr>
        <w:suppressAutoHyphens/>
        <w:rPr>
          <w:rFonts w:ascii="Arial" w:hAnsi="Arial"/>
        </w:rPr>
      </w:pPr>
    </w:p>
    <w:p w14:paraId="791BEA1F" w14:textId="77777777" w:rsidR="0025012F" w:rsidRDefault="0025012F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514 mm</w:t>
      </w:r>
    </w:p>
    <w:p w14:paraId="3EF190B0" w14:textId="77777777" w:rsidR="0025012F" w:rsidRDefault="0025012F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149 mm</w:t>
      </w:r>
    </w:p>
    <w:p w14:paraId="5448794B" w14:textId="77777777" w:rsidR="0025012F" w:rsidRDefault="0025012F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7B62056A" w14:textId="77777777" w:rsidR="0025012F" w:rsidRDefault="0025012F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7A76A52C" w14:textId="77777777" w:rsidR="0025012F" w:rsidRDefault="0025012F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34AB77F4" w14:textId="77777777" w:rsidR="0025012F" w:rsidRDefault="0025012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3125A5EE" w14:textId="77777777" w:rsidR="0025012F" w:rsidRDefault="0025012F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0C5B7095" w14:textId="77777777" w:rsidR="0025012F" w:rsidRDefault="0025012F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This Gastronorm lid is made of AISI 304 stainless steel and is seamlessly deep-drawn. The lid features a surface embossment up to its edge section, making it more rigid and stable. A recessed handle with spot-welded grip bar is positioned in the middle of the GN lid, making it easy to lift or take off the lid.</w:t>
      </w:r>
    </w:p>
    <w:p w14:paraId="2AFAC4CB" w14:textId="77777777" w:rsidR="0025012F" w:rsidRDefault="0025012F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GD-BL features a ladle cut-out on the side to hang spoons or ladles.</w:t>
      </w:r>
    </w:p>
    <w:p w14:paraId="715C7037" w14:textId="77777777" w:rsidR="0025012F" w:rsidRDefault="0025012F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external contour of the GD-BL is designed in such a way that it fits perfectly onto the matching GN container with universal U-handles.</w:t>
      </w:r>
    </w:p>
    <w:p w14:paraId="0249F155" w14:textId="77777777" w:rsidR="0025012F" w:rsidRDefault="0025012F">
      <w:pPr>
        <w:suppressAutoHyphens/>
        <w:rPr>
          <w:rFonts w:ascii="Arial" w:hAnsi="Arial"/>
        </w:rPr>
      </w:pPr>
    </w:p>
    <w:p w14:paraId="69BC0D63" w14:textId="77777777" w:rsidR="0025012F" w:rsidRDefault="0025012F">
      <w:pPr>
        <w:suppressAutoHyphens/>
        <w:rPr>
          <w:rFonts w:ascii="Arial" w:hAnsi="Arial"/>
        </w:rPr>
      </w:pPr>
    </w:p>
    <w:p w14:paraId="6E5A820E" w14:textId="77777777" w:rsidR="0025012F" w:rsidRDefault="0025012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213C43EE" w14:textId="77777777" w:rsidR="0025012F" w:rsidRDefault="0025012F">
      <w:pPr>
        <w:tabs>
          <w:tab w:val="left" w:pos="2268"/>
        </w:tabs>
        <w:suppressAutoHyphens/>
        <w:rPr>
          <w:rFonts w:ascii="Arial" w:hAnsi="Arial"/>
        </w:rPr>
      </w:pPr>
    </w:p>
    <w:p w14:paraId="2006CA38" w14:textId="77777777" w:rsidR="0025012F" w:rsidRDefault="0025012F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3F888822" w14:textId="77777777" w:rsidR="0025012F" w:rsidRDefault="0025012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73DB4642" w14:textId="77777777" w:rsidR="0025012F" w:rsidRDefault="0025012F">
      <w:pPr>
        <w:suppressAutoHyphens/>
        <w:rPr>
          <w:rFonts w:ascii="Arial" w:hAnsi="Arial"/>
        </w:rPr>
      </w:pPr>
    </w:p>
    <w:p w14:paraId="3E233DE0" w14:textId="77777777" w:rsidR="0025012F" w:rsidRDefault="0025012F">
      <w:pPr>
        <w:suppressAutoHyphens/>
        <w:rPr>
          <w:rFonts w:ascii="Arial" w:hAnsi="Arial"/>
        </w:rPr>
      </w:pPr>
    </w:p>
    <w:p w14:paraId="6909836E" w14:textId="77777777" w:rsidR="0025012F" w:rsidRDefault="0025012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2D03F09F" w14:textId="77777777" w:rsidR="0025012F" w:rsidRDefault="0025012F">
      <w:pPr>
        <w:suppressAutoHyphens/>
        <w:rPr>
          <w:rFonts w:ascii="Arial" w:hAnsi="Arial"/>
        </w:rPr>
      </w:pPr>
    </w:p>
    <w:p w14:paraId="0B32DF8D" w14:textId="77777777" w:rsidR="0025012F" w:rsidRDefault="0025012F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39B6EB41" w14:textId="77777777" w:rsidR="0025012F" w:rsidRDefault="0025012F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Ladle cut-out</w:t>
      </w:r>
    </w:p>
    <w:p w14:paraId="396BFDF2" w14:textId="77777777" w:rsidR="0025012F" w:rsidRDefault="0025012F">
      <w:pPr>
        <w:suppressAutoHyphens/>
        <w:rPr>
          <w:rFonts w:ascii="Arial" w:hAnsi="Arial"/>
        </w:rPr>
      </w:pPr>
    </w:p>
    <w:p w14:paraId="7EFA04E0" w14:textId="77777777" w:rsidR="0025012F" w:rsidRDefault="0025012F">
      <w:pPr>
        <w:suppressAutoHyphens/>
        <w:rPr>
          <w:rFonts w:ascii="Arial" w:hAnsi="Arial"/>
        </w:rPr>
      </w:pPr>
    </w:p>
    <w:p w14:paraId="589A0F04" w14:textId="77777777" w:rsidR="0025012F" w:rsidRDefault="0025012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293F0038" w14:textId="77777777" w:rsidR="0025012F" w:rsidRDefault="0025012F">
      <w:pPr>
        <w:suppressAutoHyphens/>
        <w:rPr>
          <w:rFonts w:ascii="Arial" w:hAnsi="Arial"/>
          <w:b/>
        </w:rPr>
      </w:pPr>
    </w:p>
    <w:p w14:paraId="70F8302B" w14:textId="77777777" w:rsidR="0025012F" w:rsidRDefault="0025012F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FA681D" w:rsidRPr="00FA681D">
        <w:rPr>
          <w:rFonts w:ascii="Arial" w:hAnsi="Arial"/>
        </w:rPr>
        <w:t>B.PRO</w:t>
      </w:r>
    </w:p>
    <w:p w14:paraId="7C5CDAED" w14:textId="77777777" w:rsidR="0025012F" w:rsidRDefault="0025012F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GD-BL 2/4    </w:t>
      </w:r>
    </w:p>
    <w:p w14:paraId="1147B94D" w14:textId="77777777" w:rsidR="0025012F" w:rsidRDefault="0025012F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564906</w:t>
      </w:r>
    </w:p>
    <w:p w14:paraId="079C748D" w14:textId="77777777" w:rsidR="0025012F" w:rsidRDefault="0025012F">
      <w:pPr>
        <w:suppressAutoHyphens/>
        <w:rPr>
          <w:rFonts w:ascii="Arial" w:hAnsi="Arial"/>
        </w:rPr>
      </w:pPr>
    </w:p>
    <w:p w14:paraId="182FF3D5" w14:textId="77777777" w:rsidR="0025012F" w:rsidRDefault="0025012F">
      <w:pPr>
        <w:suppressAutoHyphens/>
        <w:rPr>
          <w:rFonts w:ascii="Arial" w:hAnsi="Arial"/>
        </w:rPr>
      </w:pPr>
    </w:p>
    <w:sectPr w:rsidR="0025012F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E221A" w14:textId="77777777" w:rsidR="00AA22FB" w:rsidRDefault="00AA22FB">
      <w:pPr>
        <w:spacing w:line="20" w:lineRule="exact"/>
      </w:pPr>
    </w:p>
  </w:endnote>
  <w:endnote w:type="continuationSeparator" w:id="0">
    <w:p w14:paraId="0DA81757" w14:textId="77777777" w:rsidR="00AA22FB" w:rsidRDefault="00AA22FB">
      <w:r>
        <w:rPr>
          <w:rStyle w:val="Standard"/>
        </w:rPr>
        <w:t xml:space="preserve"> </w:t>
      </w:r>
    </w:p>
  </w:endnote>
  <w:endnote w:type="continuationNotice" w:id="1">
    <w:p w14:paraId="41F95D74" w14:textId="77777777" w:rsidR="00AA22FB" w:rsidRDefault="00AA22FB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457FE" w14:textId="77777777" w:rsidR="0025012F" w:rsidRDefault="0025012F">
    <w:pPr>
      <w:pStyle w:val="Fuzeile"/>
    </w:pPr>
    <w:r>
      <w:rPr>
        <w:rStyle w:val="Fuzeile"/>
        <w:rFonts w:ascii="Arial" w:hAnsi="Arial"/>
        <w:sz w:val="16"/>
      </w:rPr>
      <w:t>OR text GD-BL 2/4/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9E51C" w14:textId="77777777" w:rsidR="00AA22FB" w:rsidRDefault="00AA22FB">
      <w:r>
        <w:separator/>
      </w:r>
    </w:p>
  </w:footnote>
  <w:footnote w:type="continuationSeparator" w:id="0">
    <w:p w14:paraId="529191EB" w14:textId="77777777" w:rsidR="00AA22FB" w:rsidRDefault="00AA2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3E7F"/>
    <w:rsid w:val="0025012F"/>
    <w:rsid w:val="00397785"/>
    <w:rsid w:val="005E0832"/>
    <w:rsid w:val="00AA22FB"/>
    <w:rsid w:val="00FA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B77D984"/>
  <w15:chartTrackingRefBased/>
  <w15:docId w15:val="{765B77D4-416A-4232-833F-7E001C14A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854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2021-09-25T14:07:00Z</dcterms:created>
  <dcterms:modified xsi:type="dcterms:W3CDTF">2021-09-25T14:07:00Z</dcterms:modified>
</cp:coreProperties>
</file>